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190B99">
            <w:pPr>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190B99">
            <w:pPr>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90B99">
            <w:pPr>
              <w:tabs>
                <w:tab w:val="left" w:pos="4474"/>
              </w:tabs>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190B99">
            <w:pPr>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190B99">
            <w:pPr>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190B99">
            <w:pPr>
              <w:rPr>
                <w:noProof w:val="0"/>
                <w:lang w:val="uk-UA"/>
              </w:rPr>
            </w:pPr>
            <w:r w:rsidRPr="004B426A">
              <w:rPr>
                <w:noProof w:val="0"/>
                <w:lang w:val="uk-UA"/>
              </w:rPr>
              <w:t>вул. Бориса Грінченка, 1, Київ, 01001</w:t>
            </w:r>
          </w:p>
          <w:p w14:paraId="7794A1D0" w14:textId="77777777" w:rsidR="008939F5" w:rsidRPr="004B426A" w:rsidRDefault="00365687" w:rsidP="00190B99">
            <w:pPr>
              <w:rPr>
                <w:noProof w:val="0"/>
                <w:lang w:val="uk-UA"/>
              </w:rPr>
            </w:pPr>
            <w:r w:rsidRPr="004B426A">
              <w:rPr>
                <w:noProof w:val="0"/>
                <w:lang w:val="uk-UA"/>
              </w:rPr>
              <w:t>ЄДРПОУ: 41037901</w:t>
            </w:r>
          </w:p>
          <w:p w14:paraId="4FF85262" w14:textId="08065FC4" w:rsidR="00B56FF4" w:rsidRPr="004B426A" w:rsidRDefault="00B56FF4" w:rsidP="00190B99">
            <w:pPr>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5A82638A" w14:textId="77777777" w:rsidR="00CD49AE" w:rsidRPr="004B426A" w:rsidRDefault="00CD49AE" w:rsidP="00190B99">
            <w:pPr>
              <w:rPr>
                <w:noProof w:val="0"/>
                <w:lang w:val="uk-UA"/>
              </w:rPr>
            </w:pPr>
            <w:r w:rsidRPr="004B426A">
              <w:rPr>
                <w:noProof w:val="0"/>
                <w:lang w:val="uk-UA"/>
              </w:rPr>
              <w:t>КОНСОРЦІУМ «УПРАВЛЯЮЧА КОМПАНІЯ «ПЕНТА-ЛОГІСТИК ІНТЕРНЕШНЛ»</w:t>
            </w:r>
          </w:p>
          <w:p w14:paraId="573192AD" w14:textId="77777777" w:rsidR="00CD49AE" w:rsidRPr="004B426A" w:rsidRDefault="00CD49AE" w:rsidP="00190B99">
            <w:pPr>
              <w:rPr>
                <w:noProof w:val="0"/>
                <w:lang w:val="uk-UA"/>
              </w:rPr>
            </w:pPr>
            <w:r w:rsidRPr="004B426A">
              <w:rPr>
                <w:noProof w:val="0"/>
                <w:lang w:val="uk-UA"/>
              </w:rPr>
              <w:t>Код ЄДРПОУ 46005240</w:t>
            </w:r>
          </w:p>
          <w:p w14:paraId="23D4E61E" w14:textId="77777777" w:rsidR="00CD49AE" w:rsidRPr="004B426A" w:rsidRDefault="00CD49AE" w:rsidP="00190B99">
            <w:pPr>
              <w:rPr>
                <w:noProof w:val="0"/>
                <w:lang w:val="uk-UA"/>
              </w:rPr>
            </w:pPr>
            <w:r w:rsidRPr="004B426A">
              <w:rPr>
                <w:noProof w:val="0"/>
                <w:lang w:val="uk-UA"/>
              </w:rPr>
              <w:t>04070, м. Київ, вул. Набережно-Хрещатицька, будинок 11</w:t>
            </w:r>
          </w:p>
          <w:p w14:paraId="398CDC9F" w14:textId="77777777" w:rsidR="00CD49AE" w:rsidRPr="004B426A" w:rsidRDefault="00CD49AE" w:rsidP="00190B99">
            <w:pPr>
              <w:rPr>
                <w:noProof w:val="0"/>
                <w:lang w:val="uk-UA"/>
              </w:rPr>
            </w:pPr>
            <w:r w:rsidRPr="004B426A">
              <w:rPr>
                <w:noProof w:val="0"/>
                <w:lang w:val="uk-UA"/>
              </w:rPr>
              <w:t>номер засобу зв‘язку +38(067)-607-07-10</w:t>
            </w:r>
          </w:p>
          <w:p w14:paraId="6BF8A3CA" w14:textId="77777777" w:rsidR="00CD49AE" w:rsidRPr="004B426A" w:rsidRDefault="00CD49AE" w:rsidP="00190B99">
            <w:pPr>
              <w:rPr>
                <w:noProof w:val="0"/>
                <w:lang w:val="uk-UA"/>
              </w:rPr>
            </w:pPr>
            <w:r w:rsidRPr="004B426A">
              <w:rPr>
                <w:noProof w:val="0"/>
                <w:lang w:val="uk-UA"/>
              </w:rPr>
              <w:t xml:space="preserve">адреса електронної пошти: </w:t>
            </w:r>
            <w:hyperlink r:id="rId9">
              <w:r w:rsidRPr="004B426A">
                <w:rPr>
                  <w:noProof w:val="0"/>
                  <w:lang w:val="uk-UA"/>
                </w:rPr>
                <w:t>PENTALOGISTICINTL@GMAIL.COM</w:t>
              </w:r>
            </w:hyperlink>
            <w:r w:rsidRPr="004B426A">
              <w:rPr>
                <w:noProof w:val="0"/>
                <w:lang w:val="uk-UA"/>
              </w:rPr>
              <w:t xml:space="preserve"> </w:t>
            </w:r>
          </w:p>
          <w:p w14:paraId="277C39B6" w14:textId="5BA16A93" w:rsidR="00AA1668" w:rsidRPr="004B426A" w:rsidRDefault="00AA1668" w:rsidP="00190B99">
            <w:pPr>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44AB8495" w14:textId="77777777" w:rsidR="00190B99" w:rsidRDefault="00190B99" w:rsidP="00190B99">
            <w:pPr>
              <w:jc w:val="both"/>
              <w:rPr>
                <w:lang w:val="uk-UA"/>
              </w:rPr>
            </w:pPr>
            <w:r w:rsidRPr="00190B99">
              <w:rPr>
                <w:lang w:val="uk-UA"/>
              </w:rPr>
              <w:t>UA-2025-07-02-009448-a</w:t>
            </w:r>
          </w:p>
          <w:p w14:paraId="07A8F620" w14:textId="391A6543" w:rsidR="00190B99" w:rsidRPr="00190B99" w:rsidRDefault="00CD49AE" w:rsidP="00190B99">
            <w:pPr>
              <w:jc w:val="both"/>
            </w:pPr>
            <w:r w:rsidRPr="004B426A">
              <w:rPr>
                <w:noProof w:val="0"/>
                <w:lang w:val="uk-UA"/>
              </w:rPr>
              <w:t>Предмет</w:t>
            </w:r>
            <w:r w:rsidRPr="004B426A">
              <w:rPr>
                <w:lang w:val="uk-UA"/>
              </w:rPr>
              <w:t xml:space="preserve"> закупівлі: </w:t>
            </w:r>
            <w:r w:rsidR="00190B99" w:rsidRPr="00190B99">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7 транспортних засобів, за ДК 021:2015 99999999-9 Не відображене в інших розділах.</w:t>
            </w:r>
          </w:p>
          <w:p w14:paraId="71A59EA4" w14:textId="743746ED" w:rsidR="008939F5" w:rsidRPr="00190B99" w:rsidRDefault="008939F5" w:rsidP="00920315">
            <w:pPr>
              <w:jc w:val="both"/>
              <w:rPr>
                <w:noProof w:val="0"/>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4678" w:type="dxa"/>
          </w:tcPr>
          <w:p w14:paraId="2791C024" w14:textId="0345129C" w:rsidR="008939F5" w:rsidRPr="004B426A" w:rsidRDefault="00190B99" w:rsidP="00190B99">
            <w:pPr>
              <w:jc w:val="both"/>
              <w:rPr>
                <w:noProof w:val="0"/>
                <w:lang w:val="uk-UA"/>
              </w:rPr>
            </w:pPr>
            <w:r>
              <w:rPr>
                <w:rFonts w:ascii="Calibri" w:hAnsi="Calibri" w:cs="Calibri"/>
                <w:color w:val="222222"/>
                <w:shd w:val="clear" w:color="auto" w:fill="FFFFFF"/>
              </w:rPr>
              <w:t>d8601c81b06845fbb86b7959bde40d27</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lastRenderedPageBreak/>
              <w:t>Рішення про прийняття скарги до розгляду</w:t>
            </w:r>
            <w:r w:rsidR="00365687" w:rsidRPr="008B6AB6">
              <w:rPr>
                <w:bCs/>
                <w:lang w:val="uk-UA"/>
              </w:rPr>
              <w:t xml:space="preserve">: </w:t>
            </w:r>
          </w:p>
        </w:tc>
        <w:tc>
          <w:tcPr>
            <w:tcW w:w="4678" w:type="dxa"/>
          </w:tcPr>
          <w:p w14:paraId="5A03669E" w14:textId="16842162" w:rsidR="00365687" w:rsidRPr="008B6AB6" w:rsidRDefault="008410A8" w:rsidP="00190B99">
            <w:pPr>
              <w:tabs>
                <w:tab w:val="left" w:pos="567"/>
              </w:tabs>
              <w:ind w:firstLine="36"/>
              <w:jc w:val="both"/>
              <w:rPr>
                <w:bCs/>
                <w:lang w:val="uk-UA"/>
              </w:rPr>
            </w:pPr>
            <w:r w:rsidRPr="008B6AB6">
              <w:rPr>
                <w:bCs/>
                <w:lang w:val="uk-UA"/>
              </w:rPr>
              <w:t xml:space="preserve">від </w:t>
            </w:r>
            <w:r w:rsidR="003008B0" w:rsidRPr="008B6AB6">
              <w:rPr>
                <w:bCs/>
                <w:lang w:val="uk-UA"/>
              </w:rPr>
              <w:t>30</w:t>
            </w:r>
            <w:r w:rsidR="00182B7F" w:rsidRPr="008B6AB6">
              <w:rPr>
                <w:bCs/>
                <w:lang w:val="uk-UA"/>
              </w:rPr>
              <w:t>.0</w:t>
            </w:r>
            <w:r w:rsidR="003008B0" w:rsidRPr="008B6AB6">
              <w:rPr>
                <w:bCs/>
                <w:lang w:val="uk-UA"/>
              </w:rPr>
              <w:t>9</w:t>
            </w:r>
            <w:r w:rsidR="00182B7F" w:rsidRPr="008B6AB6">
              <w:rPr>
                <w:bCs/>
                <w:lang w:val="uk-UA"/>
              </w:rPr>
              <w:t>.2025 № 1</w:t>
            </w:r>
            <w:r w:rsidR="003008B0" w:rsidRPr="008B6AB6">
              <w:rPr>
                <w:bCs/>
                <w:lang w:val="uk-UA"/>
              </w:rPr>
              <w:t>4</w:t>
            </w:r>
            <w:r w:rsidR="00190B99">
              <w:rPr>
                <w:bCs/>
                <w:lang w:val="uk-UA"/>
              </w:rPr>
              <w:t>768</w:t>
            </w:r>
            <w:r w:rsidR="00182B7F" w:rsidRPr="008B6AB6">
              <w:rPr>
                <w:bCs/>
                <w:lang w:val="uk-UA"/>
              </w:rPr>
              <w:t>-р/пк-пз</w:t>
            </w:r>
          </w:p>
        </w:tc>
      </w:tr>
    </w:tbl>
    <w:p w14:paraId="2EB9BBAD" w14:textId="77777777" w:rsidR="00365687" w:rsidRPr="008B6AB6" w:rsidRDefault="00365687" w:rsidP="008B6AB6">
      <w:pPr>
        <w:tabs>
          <w:tab w:val="left" w:pos="567"/>
        </w:tabs>
        <w:ind w:firstLine="567"/>
        <w:jc w:val="both"/>
        <w:rPr>
          <w:bCs/>
        </w:rPr>
      </w:pPr>
    </w:p>
    <w:p w14:paraId="444CD075" w14:textId="77777777" w:rsidR="00F123B5" w:rsidRPr="008B6AB6" w:rsidRDefault="00F123B5" w:rsidP="008B6AB6">
      <w:pPr>
        <w:tabs>
          <w:tab w:val="left" w:pos="567"/>
        </w:tabs>
        <w:ind w:firstLine="567"/>
        <w:jc w:val="both"/>
        <w:rPr>
          <w:bCs/>
        </w:rPr>
      </w:pPr>
    </w:p>
    <w:p w14:paraId="124240FF" w14:textId="241213CE" w:rsidR="002C769A" w:rsidRPr="00116A6F" w:rsidRDefault="00F123B5" w:rsidP="00116A6F">
      <w:pPr>
        <w:tabs>
          <w:tab w:val="left" w:pos="567"/>
        </w:tabs>
        <w:ind w:firstLine="567"/>
        <w:jc w:val="center"/>
        <w:rPr>
          <w:b/>
          <w:bCs/>
        </w:rPr>
      </w:pPr>
      <w:r w:rsidRPr="00116A6F">
        <w:rPr>
          <w:b/>
          <w:bCs/>
        </w:rPr>
        <w:t>Пояснення по суті скарги</w:t>
      </w:r>
    </w:p>
    <w:p w14:paraId="627EB5C3" w14:textId="60F87BA5" w:rsidR="00182B7F" w:rsidRDefault="00190B99" w:rsidP="00190B99">
      <w:pPr>
        <w:tabs>
          <w:tab w:val="left" w:pos="567"/>
        </w:tabs>
        <w:ind w:firstLine="567"/>
        <w:jc w:val="center"/>
        <w:rPr>
          <w:b/>
          <w:bCs/>
        </w:rPr>
      </w:pPr>
      <w:bookmarkStart w:id="0" w:name="_GoBack"/>
      <w:r w:rsidRPr="00190B99">
        <w:rPr>
          <w:b/>
          <w:bCs/>
        </w:rPr>
        <w:t>UA-2025-07-02-009448-a.c2</w:t>
      </w:r>
    </w:p>
    <w:bookmarkEnd w:id="0"/>
    <w:p w14:paraId="37AC5690" w14:textId="77777777" w:rsidR="00190B99" w:rsidRPr="008B6AB6" w:rsidRDefault="00190B99" w:rsidP="00190B99">
      <w:pPr>
        <w:tabs>
          <w:tab w:val="left" w:pos="567"/>
        </w:tabs>
        <w:ind w:firstLine="567"/>
        <w:jc w:val="center"/>
        <w:rPr>
          <w:bCs/>
        </w:rPr>
      </w:pPr>
    </w:p>
    <w:p w14:paraId="5853FF54" w14:textId="7A295B6A" w:rsidR="00191EDA" w:rsidRPr="008B6AB6" w:rsidRDefault="003302EE" w:rsidP="008B6AB6">
      <w:pPr>
        <w:tabs>
          <w:tab w:val="left" w:pos="567"/>
        </w:tabs>
        <w:ind w:firstLine="567"/>
        <w:jc w:val="both"/>
        <w:rPr>
          <w:bCs/>
        </w:rPr>
      </w:pPr>
      <w:r w:rsidRPr="008B6AB6">
        <w:rPr>
          <w:bCs/>
        </w:rPr>
        <w:tab/>
      </w:r>
      <w:r w:rsidR="00191EDA"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від </w:t>
      </w:r>
      <w:r w:rsidR="003008B0" w:rsidRPr="008B6AB6">
        <w:rPr>
          <w:bCs/>
        </w:rPr>
        <w:t>30</w:t>
      </w:r>
      <w:r w:rsidRPr="008B6AB6">
        <w:rPr>
          <w:bCs/>
        </w:rPr>
        <w:t>.0</w:t>
      </w:r>
      <w:r w:rsidR="003008B0" w:rsidRPr="008B6AB6">
        <w:rPr>
          <w:bCs/>
        </w:rPr>
        <w:t>9</w:t>
      </w:r>
      <w:r w:rsidRPr="008B6AB6">
        <w:rPr>
          <w:bCs/>
        </w:rPr>
        <w:t>.2025</w:t>
      </w:r>
      <w:r w:rsidR="00182B7F" w:rsidRPr="008B6AB6">
        <w:rPr>
          <w:bCs/>
        </w:rPr>
        <w:br/>
      </w:r>
      <w:r w:rsidRPr="008B6AB6">
        <w:rPr>
          <w:bCs/>
        </w:rPr>
        <w:t xml:space="preserve">№ </w:t>
      </w:r>
      <w:r w:rsidR="003008B0" w:rsidRPr="008B6AB6">
        <w:rPr>
          <w:bCs/>
        </w:rPr>
        <w:t>14</w:t>
      </w:r>
      <w:r w:rsidR="00190B99">
        <w:rPr>
          <w:bCs/>
        </w:rPr>
        <w:t>768</w:t>
      </w:r>
      <w:r w:rsidR="00182B7F" w:rsidRPr="008B6AB6">
        <w:rPr>
          <w:bCs/>
        </w:rPr>
        <w:t>-р/пк-пз</w:t>
      </w:r>
      <w:r w:rsidRPr="008B6AB6">
        <w:rPr>
          <w:bCs/>
        </w:rPr>
        <w:t xml:space="preserve"> </w:t>
      </w:r>
      <w:r w:rsidR="006A67CE" w:rsidRPr="008B6AB6">
        <w:rPr>
          <w:bCs/>
        </w:rPr>
        <w:t>прийнято до розгля</w:t>
      </w:r>
      <w:r w:rsidR="0040613F" w:rsidRPr="008B6AB6">
        <w:rPr>
          <w:bCs/>
        </w:rPr>
        <w:t>ду скаргу, подану КОНСОРЦІУМОМ "</w:t>
      </w:r>
      <w:r w:rsidR="006A67CE" w:rsidRPr="008B6AB6">
        <w:rPr>
          <w:bCs/>
        </w:rPr>
        <w:t xml:space="preserve">УПРАВЛЯЮЧА КОМПАНІЯ </w:t>
      </w:r>
      <w:r w:rsidR="0040613F" w:rsidRPr="008B6AB6">
        <w:rPr>
          <w:bCs/>
        </w:rPr>
        <w:t>"</w:t>
      </w:r>
      <w:r w:rsidR="006A67CE" w:rsidRPr="008B6AB6">
        <w:rPr>
          <w:bCs/>
        </w:rPr>
        <w:t>ПЕНТА-ЛОГІСТИК ІНТЕРНЕШНЛ</w:t>
      </w:r>
      <w:r w:rsidR="0040613F" w:rsidRPr="008B6AB6">
        <w:rPr>
          <w:bCs/>
        </w:rPr>
        <w:t>"</w:t>
      </w:r>
      <w:r w:rsidR="006A67CE" w:rsidRPr="008B6AB6">
        <w:rPr>
          <w:bCs/>
        </w:rPr>
        <w:t xml:space="preserve"> </w:t>
      </w:r>
      <w:r w:rsidR="00182B7F" w:rsidRPr="008B6AB6">
        <w:rPr>
          <w:bCs/>
        </w:rPr>
        <w:t>код ЄДРПОУ 46005240</w:t>
      </w:r>
      <w:r w:rsidRPr="008B6AB6">
        <w:rPr>
          <w:bCs/>
        </w:rPr>
        <w:t xml:space="preserve"> </w:t>
      </w:r>
      <w:r w:rsidR="006A67CE" w:rsidRPr="008B6AB6">
        <w:rPr>
          <w:bCs/>
        </w:rPr>
        <w:br/>
      </w:r>
      <w:r w:rsidR="00191EDA" w:rsidRPr="008B6AB6">
        <w:rPr>
          <w:bCs/>
        </w:rPr>
        <w:t>(далі</w:t>
      </w:r>
      <w:r w:rsidR="00182B7F" w:rsidRPr="008B6AB6">
        <w:rPr>
          <w:bCs/>
        </w:rPr>
        <w:t xml:space="preserve"> – </w:t>
      </w:r>
      <w:r w:rsidR="00191EDA" w:rsidRPr="008B6AB6">
        <w:rPr>
          <w:bCs/>
        </w:rPr>
        <w:t>Скаржник), щодо порушення Замовником</w:t>
      </w:r>
      <w:r w:rsidR="006A67CE" w:rsidRPr="008B6AB6">
        <w:rPr>
          <w:bCs/>
        </w:rPr>
        <w:t xml:space="preserve"> </w:t>
      </w:r>
      <w:r w:rsidR="000A5AAA" w:rsidRPr="008B6AB6">
        <w:rPr>
          <w:bCs/>
        </w:rPr>
        <w:t xml:space="preserve"> – </w:t>
      </w:r>
      <w:r w:rsidR="00191EDA"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00191EDA" w:rsidRPr="008B6AB6">
        <w:rPr>
          <w:bCs/>
        </w:rPr>
        <w:t>41037901 (надалі – АРМА або Замовник) порядку проведення Процедури закупівлі (ідентифікатор закупівлі:</w:t>
      </w:r>
      <w:r w:rsidRPr="008B6AB6">
        <w:rPr>
          <w:bCs/>
        </w:rPr>
        <w:t xml:space="preserve"> </w:t>
      </w:r>
      <w:r w:rsidR="00190B99" w:rsidRPr="00190B99">
        <w:rPr>
          <w:bCs/>
        </w:rPr>
        <w:t>UA-2025-07-02-009448-a</w:t>
      </w:r>
      <w:r w:rsidR="00FB7876" w:rsidRPr="008B6AB6">
        <w:rPr>
          <w:bCs/>
        </w:rPr>
        <w:t>)</w:t>
      </w:r>
      <w:r w:rsidR="00D65C2F" w:rsidRPr="008B6AB6">
        <w:rPr>
          <w:bCs/>
        </w:rPr>
        <w:t xml:space="preserve"> </w:t>
      </w:r>
      <w:r w:rsidR="00191EDA" w:rsidRPr="008B6AB6">
        <w:rPr>
          <w:bCs/>
        </w:rPr>
        <w:t xml:space="preserve">шляхом </w:t>
      </w:r>
      <w:r w:rsidR="00182B7F" w:rsidRPr="008B6AB6">
        <w:rPr>
          <w:bCs/>
        </w:rPr>
        <w:t>відхилення тендерної пропозиції Скаржника.</w:t>
      </w:r>
    </w:p>
    <w:p w14:paraId="29772903" w14:textId="7E9F1A6A" w:rsidR="00191EDA" w:rsidRPr="008B6AB6" w:rsidRDefault="006A67CE" w:rsidP="008B6AB6">
      <w:pPr>
        <w:tabs>
          <w:tab w:val="left" w:pos="567"/>
        </w:tabs>
        <w:ind w:firstLine="567"/>
        <w:jc w:val="both"/>
        <w:rPr>
          <w:bCs/>
        </w:rPr>
      </w:pPr>
      <w:r w:rsidRPr="008B6AB6">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від </w:t>
      </w:r>
      <w:r w:rsidR="003008B0" w:rsidRPr="008B6AB6">
        <w:rPr>
          <w:bCs/>
        </w:rPr>
        <w:t>30</w:t>
      </w:r>
      <w:r w:rsidR="00182B7F" w:rsidRPr="008B6AB6">
        <w:rPr>
          <w:bCs/>
        </w:rPr>
        <w:t>.0</w:t>
      </w:r>
      <w:r w:rsidR="003008B0" w:rsidRPr="008B6AB6">
        <w:rPr>
          <w:bCs/>
        </w:rPr>
        <w:t>9</w:t>
      </w:r>
      <w:r w:rsidR="00182B7F" w:rsidRPr="008B6AB6">
        <w:rPr>
          <w:bCs/>
        </w:rPr>
        <w:t xml:space="preserve">.2025 № </w:t>
      </w:r>
      <w:r w:rsidR="00190B99" w:rsidRPr="008B6AB6">
        <w:rPr>
          <w:bCs/>
        </w:rPr>
        <w:t>14</w:t>
      </w:r>
      <w:r w:rsidR="00190B99">
        <w:rPr>
          <w:bCs/>
        </w:rPr>
        <w:t>768</w:t>
      </w:r>
      <w:r w:rsidR="00182B7F" w:rsidRPr="008B6AB6">
        <w:rPr>
          <w:bCs/>
        </w:rPr>
        <w:t>-р/пк-пз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0A131A7F" w14:textId="4F310344" w:rsidR="00190B99" w:rsidRPr="00190B99" w:rsidRDefault="000B638F" w:rsidP="00190B99">
      <w:pPr>
        <w:tabs>
          <w:tab w:val="left" w:pos="567"/>
        </w:tabs>
        <w:ind w:firstLine="567"/>
        <w:jc w:val="both"/>
        <w:rPr>
          <w:bCs/>
        </w:rPr>
      </w:pPr>
      <w:r w:rsidRPr="008B6AB6">
        <w:rPr>
          <w:bCs/>
        </w:rPr>
        <w:tab/>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190B99" w:rsidRPr="00190B99">
        <w:rPr>
          <w:bCs/>
        </w:rPr>
        <w:t>UA-2025-07-02-009448-a</w:t>
      </w:r>
      <w:r w:rsidR="00190B99" w:rsidRPr="008B6AB6">
        <w:rPr>
          <w:bCs/>
        </w:rPr>
        <w:t xml:space="preserve"> </w:t>
      </w:r>
      <w:r w:rsidR="00191EDA" w:rsidRPr="008B6AB6">
        <w:rPr>
          <w:bCs/>
        </w:rPr>
        <w:t xml:space="preserve">є </w:t>
      </w:r>
      <w:r w:rsidR="00190B99" w:rsidRPr="00190B99">
        <w:rPr>
          <w:bCs/>
        </w:rPr>
        <w:t>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7 транспортних засобів, за ДК 021:2015 99999999-9 Не відображене в інших розділах.</w:t>
      </w:r>
    </w:p>
    <w:p w14:paraId="7FC7DAA1" w14:textId="19EC41D9" w:rsidR="00191EDA" w:rsidRPr="008B6AB6" w:rsidRDefault="00190B99" w:rsidP="00190B99">
      <w:pPr>
        <w:tabs>
          <w:tab w:val="left" w:pos="567"/>
        </w:tabs>
        <w:ind w:firstLine="567"/>
        <w:jc w:val="both"/>
        <w:rPr>
          <w:bCs/>
        </w:rPr>
      </w:pPr>
      <w:r w:rsidRPr="00190B99">
        <w:rPr>
          <w:bCs/>
        </w:rPr>
        <w:t xml:space="preserve"> </w:t>
      </w:r>
      <w:r w:rsidR="00191EDA"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3E7E388A" w:rsidR="00191EDA" w:rsidRPr="008B6AB6" w:rsidRDefault="00191EDA" w:rsidP="004A7469">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10"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66246A0E" w14:textId="77777777" w:rsidR="008B6AB6" w:rsidRPr="008B6AB6" w:rsidRDefault="00331B9D" w:rsidP="008B6AB6">
      <w:pPr>
        <w:tabs>
          <w:tab w:val="left" w:pos="567"/>
        </w:tabs>
        <w:ind w:firstLine="567"/>
        <w:jc w:val="both"/>
        <w:rPr>
          <w:bCs/>
        </w:rPr>
      </w:pPr>
      <w:r w:rsidRPr="008B6AB6">
        <w:rPr>
          <w:bCs/>
        </w:rPr>
        <w:tab/>
      </w:r>
      <w:r w:rsidR="00562D3F" w:rsidRPr="008B6AB6">
        <w:rPr>
          <w:bCs/>
        </w:rPr>
        <w:t xml:space="preserve">У межах розгляду </w:t>
      </w:r>
      <w:r w:rsidRPr="008B6AB6">
        <w:rPr>
          <w:bCs/>
        </w:rPr>
        <w:t>С</w:t>
      </w:r>
      <w:r w:rsidR="00562D3F" w:rsidRPr="008B6AB6">
        <w:rPr>
          <w:bCs/>
        </w:rPr>
        <w:t>карги, повідомляємо наступне:</w:t>
      </w:r>
      <w:r w:rsidR="008B6AB6" w:rsidRPr="008B6AB6">
        <w:rPr>
          <w:bCs/>
        </w:rPr>
        <w:t xml:space="preserve"> </w:t>
      </w:r>
    </w:p>
    <w:p w14:paraId="70999459" w14:textId="4F906614" w:rsidR="004A7469" w:rsidRPr="008B6AB6" w:rsidRDefault="008B6AB6" w:rsidP="008B6AB6">
      <w:pPr>
        <w:tabs>
          <w:tab w:val="left" w:pos="567"/>
        </w:tabs>
        <w:ind w:firstLine="567"/>
        <w:jc w:val="both"/>
        <w:rPr>
          <w:bCs/>
        </w:rPr>
      </w:pPr>
      <w:r w:rsidRPr="008B6AB6">
        <w:rPr>
          <w:bCs/>
        </w:rPr>
        <w:tab/>
        <w:t>з</w:t>
      </w:r>
      <w:r w:rsidR="00A56E48" w:rsidRPr="008B6AB6">
        <w:rPr>
          <w:bCs/>
        </w:rPr>
        <w:t>амовником було прийнято рішення про відхилення тендерної пропозиції учасника</w:t>
      </w:r>
      <w:r w:rsidR="004A7469" w:rsidRPr="008B6AB6">
        <w:rPr>
          <w:bCs/>
        </w:rPr>
        <w:t xml:space="preserve"> (протокол № </w:t>
      </w:r>
      <w:r w:rsidR="00190B99">
        <w:rPr>
          <w:bCs/>
        </w:rPr>
        <w:t>81</w:t>
      </w:r>
      <w:r w:rsidR="004A7469" w:rsidRPr="008B6AB6">
        <w:rPr>
          <w:bCs/>
        </w:rPr>
        <w:t xml:space="preserve"> від 23.09.2025) </w:t>
      </w:r>
      <w:r w:rsidR="00A56E48" w:rsidRPr="008B6AB6">
        <w:rPr>
          <w:bCs/>
        </w:rPr>
        <w:t xml:space="preserve">на підставі  </w:t>
      </w:r>
      <w:r w:rsidR="004A7469" w:rsidRPr="008B6AB6">
        <w:rPr>
          <w:bCs/>
        </w:rPr>
        <w:t>підпункт 1 пункту 44 Особливостей - учасник процедури закупівлі 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5F1F3D" w14:textId="48DC659B" w:rsidR="00FE69F1" w:rsidRPr="008B6AB6" w:rsidRDefault="004A7469" w:rsidP="008B6AB6">
      <w:pPr>
        <w:tabs>
          <w:tab w:val="left" w:pos="567"/>
        </w:tabs>
        <w:ind w:firstLine="567"/>
        <w:jc w:val="both"/>
        <w:rPr>
          <w:bCs/>
        </w:rPr>
      </w:pPr>
      <w:r w:rsidRPr="008B6AB6">
        <w:rPr>
          <w:bCs/>
        </w:rPr>
        <w:lastRenderedPageBreak/>
        <w:tab/>
      </w:r>
      <w:r w:rsidR="00A56E48" w:rsidRPr="008B6AB6">
        <w:rPr>
          <w:bCs/>
        </w:rPr>
        <w:t xml:space="preserve">У Додатку 3 до тендерної документації, яким визначено кваліфікаційний </w:t>
      </w:r>
      <w:r w:rsidR="008B6AB6" w:rsidRPr="008B6AB6">
        <w:rPr>
          <w:bCs/>
        </w:rPr>
        <w:br/>
      </w:r>
      <w:r w:rsidR="00A56E48" w:rsidRPr="008B6AB6">
        <w:rPr>
          <w:bCs/>
        </w:rPr>
        <w:t>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w:t>
      </w:r>
      <w:r w:rsidR="00FE69F1" w:rsidRPr="008B6AB6">
        <w:rPr>
          <w:bCs/>
        </w:rPr>
        <w:t xml:space="preserve"> (за наявності)</w:t>
      </w:r>
      <w:r w:rsidR="00A56E48" w:rsidRPr="008B6AB6">
        <w:rPr>
          <w:bCs/>
        </w:rPr>
        <w:t xml:space="preserve">. </w:t>
      </w:r>
    </w:p>
    <w:p w14:paraId="7AE79239" w14:textId="77777777" w:rsidR="00FE69F1" w:rsidRPr="008B6AB6" w:rsidRDefault="00FE69F1" w:rsidP="008B6AB6">
      <w:pPr>
        <w:tabs>
          <w:tab w:val="left" w:pos="567"/>
        </w:tabs>
        <w:ind w:firstLine="567"/>
        <w:jc w:val="both"/>
        <w:rPr>
          <w:bCs/>
        </w:rPr>
      </w:pPr>
      <w:r w:rsidRPr="008B6AB6">
        <w:rPr>
          <w:bCs/>
        </w:rPr>
        <w:t>Отже 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p w14:paraId="4D16AD14" w14:textId="6B18B57B" w:rsidR="00FE69F1" w:rsidRPr="008B6AB6" w:rsidRDefault="004A7469" w:rsidP="008B6AB6">
      <w:pPr>
        <w:tabs>
          <w:tab w:val="left" w:pos="567"/>
        </w:tabs>
        <w:ind w:firstLine="567"/>
        <w:jc w:val="both"/>
        <w:rPr>
          <w:bCs/>
        </w:rPr>
      </w:pPr>
      <w:r w:rsidRPr="008B6AB6">
        <w:rPr>
          <w:bCs/>
        </w:rPr>
        <w:tab/>
      </w:r>
      <w:r w:rsidR="00A56E48" w:rsidRPr="008B6AB6">
        <w:rPr>
          <w:bCs/>
        </w:rPr>
        <w:t xml:space="preserve">Формулювання "за наявності" вказує на об’єктивну наявність або відсутність </w:t>
      </w:r>
      <w:r w:rsidR="00FE69F1" w:rsidRPr="008B6AB6">
        <w:rPr>
          <w:bCs/>
        </w:rPr>
        <w:t xml:space="preserve">доказів реєстрації </w:t>
      </w:r>
      <w:r w:rsidR="00A56E48" w:rsidRPr="008B6AB6">
        <w:rPr>
          <w:bCs/>
        </w:rPr>
        <w:t>податкових накладних</w:t>
      </w:r>
      <w:r w:rsidR="00FE69F1" w:rsidRPr="008B6AB6">
        <w:rPr>
          <w:bCs/>
        </w:rPr>
        <w:t xml:space="preserve"> в ЄРПН</w:t>
      </w:r>
      <w:r w:rsidR="00A56E48" w:rsidRPr="008B6AB6">
        <w:rPr>
          <w:bCs/>
        </w:rPr>
        <w:t xml:space="preserve">, що, у свою чергу, залежить від факту </w:t>
      </w:r>
      <w:r w:rsidR="00FE69F1" w:rsidRPr="008B6AB6">
        <w:rPr>
          <w:bCs/>
        </w:rPr>
        <w:t>в тому числі податкових органів.</w:t>
      </w:r>
    </w:p>
    <w:p w14:paraId="29E2BF9E" w14:textId="51E730DD" w:rsidR="00FE69F1" w:rsidRPr="008B6AB6" w:rsidRDefault="00FE69F1" w:rsidP="00FE69F1">
      <w:pPr>
        <w:tabs>
          <w:tab w:val="left" w:pos="567"/>
        </w:tabs>
        <w:ind w:firstLine="567"/>
        <w:jc w:val="both"/>
        <w:rPr>
          <w:bCs/>
        </w:rPr>
      </w:pPr>
      <w:r w:rsidRPr="008B6AB6">
        <w:rPr>
          <w:bCs/>
        </w:rPr>
        <w:t>Дані кваліфікаційні вимоги щодо підтвердження аналогічного договору – договору управління майна  податковими накладними засновано на тому, що згідно підпункту 5 пункту 180.1 статті 180 Податкового кодексу України  встановлено:</w:t>
      </w:r>
    </w:p>
    <w:p w14:paraId="1D078897" w14:textId="2F2B3E84" w:rsidR="00FE69F1" w:rsidRPr="008B6AB6" w:rsidRDefault="00FE69F1" w:rsidP="00FE69F1">
      <w:pPr>
        <w:tabs>
          <w:tab w:val="left" w:pos="567"/>
        </w:tabs>
        <w:ind w:firstLine="567"/>
        <w:jc w:val="both"/>
        <w:rPr>
          <w:bCs/>
        </w:rPr>
      </w:pPr>
      <w:r w:rsidRPr="008B6AB6">
        <w:rPr>
          <w:bCs/>
        </w:rPr>
        <w:t>«Для цілей оподаткування платником податку є:</w:t>
      </w:r>
      <w:bookmarkStart w:id="1" w:name="n4382"/>
      <w:bookmarkStart w:id="2" w:name="n4389"/>
      <w:bookmarkEnd w:id="1"/>
      <w:bookmarkEnd w:id="2"/>
    </w:p>
    <w:p w14:paraId="24EBB40A" w14:textId="2804D74A" w:rsidR="00FE69F1" w:rsidRPr="008B6AB6" w:rsidRDefault="00FE69F1" w:rsidP="00FE69F1">
      <w:pPr>
        <w:tabs>
          <w:tab w:val="left" w:pos="567"/>
        </w:tabs>
        <w:ind w:firstLine="567"/>
        <w:jc w:val="both"/>
        <w:rPr>
          <w:bCs/>
        </w:rPr>
      </w:pPr>
      <w:r w:rsidRPr="008B6AB6">
        <w:rPr>
          <w:bCs/>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14:paraId="2C1FE01D" w14:textId="4A5818EC" w:rsidR="00FE69F1" w:rsidRPr="008B6AB6" w:rsidRDefault="00FE69F1" w:rsidP="00FE69F1">
      <w:pPr>
        <w:tabs>
          <w:tab w:val="left" w:pos="567"/>
        </w:tabs>
        <w:ind w:firstLine="567"/>
        <w:jc w:val="both"/>
        <w:rPr>
          <w:bCs/>
        </w:rPr>
      </w:pPr>
      <w:r w:rsidRPr="008B6AB6">
        <w:rPr>
          <w:bCs/>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p>
    <w:p w14:paraId="33113DC6" w14:textId="0A6D3FC1" w:rsidR="00FE69F1" w:rsidRDefault="00FE69F1" w:rsidP="00FE69F1">
      <w:pPr>
        <w:tabs>
          <w:tab w:val="left" w:pos="567"/>
        </w:tabs>
        <w:ind w:firstLine="567"/>
        <w:jc w:val="both"/>
        <w:rPr>
          <w:noProof w:val="0"/>
          <w:lang w:eastAsia="uk-UA"/>
        </w:rPr>
      </w:pPr>
      <w:r>
        <w:rPr>
          <w:bCs/>
        </w:rPr>
        <w:t>Водночас учасник може бути в</w:t>
      </w:r>
      <w:r w:rsidRPr="00B67C62">
        <w:rPr>
          <w:bCs/>
        </w:rPr>
        <w:t xml:space="preserve"> переліку платників, які відповідають критеріям ризиковості платника податків згідно Порядку зупинення реєстрації </w:t>
      </w:r>
      <w:hyperlink r:id="rId11" w:anchor="n20" w:tgtFrame="_blank" w:history="1">
        <w:r w:rsidRPr="008B6AB6">
          <w:t>податкової накладної</w:t>
        </w:r>
      </w:hyperlink>
      <w:r w:rsidRPr="00B67C62">
        <w:rPr>
          <w:bCs/>
        </w:rPr>
        <w:t xml:space="preserve">/розрахунку коригування в Єдиному реєстрі податкових накладних затвердженого постановою Кабінету Міністрів України від 11 грудня 2019 р. № 1165 </w:t>
      </w:r>
      <w:r>
        <w:rPr>
          <w:bCs/>
        </w:rPr>
        <w:t xml:space="preserve">і відповідно випитсані податкові накладні не будуть мати факту реєстрації в </w:t>
      </w:r>
      <w:r>
        <w:rPr>
          <w:noProof w:val="0"/>
          <w:lang w:eastAsia="uk-UA"/>
        </w:rPr>
        <w:t>ЄРПН.</w:t>
      </w:r>
    </w:p>
    <w:p w14:paraId="72863CCA" w14:textId="77777777" w:rsidR="008B6AB6" w:rsidRDefault="00FE69F1" w:rsidP="008B6AB6">
      <w:pPr>
        <w:tabs>
          <w:tab w:val="left" w:pos="567"/>
        </w:tabs>
        <w:ind w:firstLine="567"/>
        <w:jc w:val="both"/>
        <w:rPr>
          <w:noProof w:val="0"/>
          <w:lang w:eastAsia="uk-UA"/>
        </w:rPr>
      </w:pPr>
      <w:r>
        <w:rPr>
          <w:noProof w:val="0"/>
          <w:lang w:eastAsia="uk-UA"/>
        </w:rPr>
        <w:t>З метою недопущення порушень інтересів учасників, які можуть мати на час проведення закупівлі спори</w:t>
      </w:r>
      <w:r w:rsidR="00777343">
        <w:rPr>
          <w:noProof w:val="0"/>
          <w:lang w:eastAsia="uk-UA"/>
        </w:rPr>
        <w:t xml:space="preserve">, в тому числі судові, </w:t>
      </w:r>
      <w:r>
        <w:rPr>
          <w:noProof w:val="0"/>
          <w:lang w:eastAsia="uk-UA"/>
        </w:rPr>
        <w:t xml:space="preserve"> з податковими органами щодо протиправного включення </w:t>
      </w:r>
      <w:r w:rsidR="00777343">
        <w:rPr>
          <w:noProof w:val="0"/>
          <w:lang w:eastAsia="uk-UA"/>
        </w:rPr>
        <w:t xml:space="preserve">їх </w:t>
      </w:r>
      <w:r>
        <w:rPr>
          <w:noProof w:val="0"/>
          <w:lang w:eastAsia="uk-UA"/>
        </w:rPr>
        <w:t xml:space="preserve">до </w:t>
      </w:r>
      <w:r w:rsidRPr="00B67C62">
        <w:rPr>
          <w:bCs/>
        </w:rPr>
        <w:t>переліку платників, які відповідають критеріям ризиковості</w:t>
      </w:r>
      <w:r w:rsidR="00777343">
        <w:rPr>
          <w:bCs/>
        </w:rPr>
        <w:t xml:space="preserve">,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45FA554D" w14:textId="4E74D117" w:rsidR="00777343" w:rsidRDefault="00A56E48" w:rsidP="008B6AB6">
      <w:pPr>
        <w:tabs>
          <w:tab w:val="left" w:pos="567"/>
        </w:tabs>
        <w:ind w:firstLine="567"/>
        <w:jc w:val="both"/>
        <w:rPr>
          <w:noProof w:val="0"/>
          <w:lang w:eastAsia="uk-UA"/>
        </w:rPr>
      </w:pPr>
      <w:r w:rsidRPr="00A56E48">
        <w:rPr>
          <w:noProof w:val="0"/>
          <w:lang w:eastAsia="uk-UA"/>
        </w:rPr>
        <w:t xml:space="preserve">Іншими словами, якщо в межах аналогічного договору учасником </w:t>
      </w:r>
      <w:r w:rsidR="00777343">
        <w:rPr>
          <w:noProof w:val="0"/>
          <w:lang w:eastAsia="uk-UA"/>
        </w:rPr>
        <w:t>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90C1EDD" w14:textId="0C4AEDB8" w:rsidR="00A56E48" w:rsidRPr="00A56E48" w:rsidRDefault="004A7469" w:rsidP="004A7469">
      <w:pPr>
        <w:tabs>
          <w:tab w:val="left" w:pos="567"/>
        </w:tabs>
        <w:jc w:val="both"/>
        <w:rPr>
          <w:noProof w:val="0"/>
          <w:lang w:eastAsia="uk-UA"/>
        </w:rPr>
      </w:pPr>
      <w:r>
        <w:rPr>
          <w:noProof w:val="0"/>
          <w:lang w:eastAsia="uk-UA"/>
        </w:rPr>
        <w:tab/>
      </w:r>
      <w:r w:rsidR="00777343">
        <w:rPr>
          <w:noProof w:val="0"/>
          <w:lang w:eastAsia="uk-UA"/>
        </w:rPr>
        <w:t xml:space="preserve">Отже </w:t>
      </w:r>
      <w:r w:rsidR="00A56E48" w:rsidRPr="00A56E48">
        <w:rPr>
          <w:noProof w:val="0"/>
          <w:lang w:eastAsia="uk-UA"/>
        </w:rPr>
        <w:t>наявність податков</w:t>
      </w:r>
      <w:r w:rsidR="00777343">
        <w:rPr>
          <w:noProof w:val="0"/>
          <w:lang w:eastAsia="uk-UA"/>
        </w:rPr>
        <w:t>их</w:t>
      </w:r>
      <w:r w:rsidR="00A56E48" w:rsidRPr="00A56E48">
        <w:rPr>
          <w:noProof w:val="0"/>
          <w:lang w:eastAsia="uk-UA"/>
        </w:rPr>
        <w:t xml:space="preserve"> накладн</w:t>
      </w:r>
      <w:r w:rsidR="00777343">
        <w:rPr>
          <w:noProof w:val="0"/>
          <w:lang w:eastAsia="uk-UA"/>
        </w:rPr>
        <w:t>их</w:t>
      </w:r>
      <w:r w:rsidR="00A56E48" w:rsidRPr="00A56E48">
        <w:rPr>
          <w:noProof w:val="0"/>
          <w:lang w:eastAsia="uk-UA"/>
        </w:rPr>
        <w:t xml:space="preserve"> </w:t>
      </w:r>
      <w:r w:rsidR="00A56E48" w:rsidRPr="004A7469">
        <w:rPr>
          <w:noProof w:val="0"/>
          <w:u w:val="single"/>
          <w:lang w:eastAsia="uk-UA"/>
        </w:rPr>
        <w:t>є обов’язковою</w:t>
      </w:r>
      <w:r w:rsidR="00777343">
        <w:rPr>
          <w:noProof w:val="0"/>
          <w:u w:val="single"/>
          <w:lang w:eastAsia="uk-UA"/>
        </w:rPr>
        <w:t xml:space="preserve"> умовою</w:t>
      </w:r>
      <w:r w:rsidR="00A56E48" w:rsidRPr="00A56E48">
        <w:rPr>
          <w:noProof w:val="0"/>
          <w:lang w:eastAsia="uk-UA"/>
        </w:rPr>
        <w:t>, а</w:t>
      </w:r>
      <w:r w:rsidR="00777343">
        <w:rPr>
          <w:noProof w:val="0"/>
          <w:lang w:eastAsia="uk-UA"/>
        </w:rPr>
        <w:t xml:space="preserve"> подання їх реєстрації в ЄРПН </w:t>
      </w:r>
      <w:r w:rsidR="00A56E48" w:rsidRPr="00A56E48">
        <w:rPr>
          <w:noProof w:val="0"/>
          <w:lang w:eastAsia="uk-UA"/>
        </w:rPr>
        <w:t>факультативн</w:t>
      </w:r>
      <w:r w:rsidR="00777343">
        <w:rPr>
          <w:noProof w:val="0"/>
          <w:lang w:eastAsia="uk-UA"/>
        </w:rPr>
        <w:t>ою умовою</w:t>
      </w:r>
      <w:r w:rsidR="00A56E48" w:rsidRPr="00A56E48">
        <w:rPr>
          <w:noProof w:val="0"/>
          <w:lang w:eastAsia="uk-UA"/>
        </w:rPr>
        <w:t>.</w:t>
      </w:r>
    </w:p>
    <w:p w14:paraId="0FEB81A7" w14:textId="77777777" w:rsidR="008B6AB6" w:rsidRDefault="004A7469" w:rsidP="008B6AB6">
      <w:pPr>
        <w:tabs>
          <w:tab w:val="left" w:pos="567"/>
        </w:tabs>
        <w:jc w:val="both"/>
        <w:rPr>
          <w:noProof w:val="0"/>
          <w:lang w:eastAsia="uk-UA"/>
        </w:rPr>
      </w:pPr>
      <w:r>
        <w:rPr>
          <w:noProof w:val="0"/>
          <w:lang w:eastAsia="uk-UA"/>
        </w:rPr>
        <w:tab/>
      </w:r>
      <w:r w:rsidR="00A56E48" w:rsidRPr="00A56E48">
        <w:rPr>
          <w:noProof w:val="0"/>
          <w:lang w:eastAsia="uk-UA"/>
        </w:rPr>
        <w:t xml:space="preserve">У складі тендерної пропозиції та документів, поданих для усунення невідповідностей,  </w:t>
      </w:r>
      <w:r w:rsidR="00B558EC">
        <w:rPr>
          <w:noProof w:val="0"/>
          <w:lang w:eastAsia="uk-UA"/>
        </w:rPr>
        <w:t xml:space="preserve">Скаржник </w:t>
      </w:r>
      <w:r w:rsidR="00A56E48" w:rsidRPr="00A56E48">
        <w:rPr>
          <w:noProof w:val="0"/>
          <w:lang w:eastAsia="uk-UA"/>
        </w:rPr>
        <w:t xml:space="preserve">надав акт приймання-передачі послуг </w:t>
      </w:r>
      <w:r w:rsidR="004763EF">
        <w:rPr>
          <w:noProof w:val="0"/>
          <w:lang w:eastAsia="uk-UA"/>
        </w:rPr>
        <w:t xml:space="preserve"> </w:t>
      </w:r>
      <w:r w:rsidR="00A56E48" w:rsidRPr="00A56E48">
        <w:rPr>
          <w:noProof w:val="0"/>
          <w:lang w:eastAsia="uk-UA"/>
        </w:rPr>
        <w:t xml:space="preserve">за </w:t>
      </w:r>
      <w:r w:rsidR="00B558EC">
        <w:rPr>
          <w:noProof w:val="0"/>
          <w:lang w:eastAsia="uk-UA"/>
        </w:rPr>
        <w:t>Д</w:t>
      </w:r>
      <w:r w:rsidR="00B558EC" w:rsidRPr="00A56E48">
        <w:rPr>
          <w:noProof w:val="0"/>
          <w:lang w:eastAsia="uk-UA"/>
        </w:rPr>
        <w:t>ОГОВОРОМ</w:t>
      </w:r>
      <w:r w:rsidR="00B558EC">
        <w:rPr>
          <w:noProof w:val="0"/>
          <w:lang w:eastAsia="uk-UA"/>
        </w:rPr>
        <w:t xml:space="preserve"> № 01/05/24 УПРАВЛІННЯ РУХОМИМ МАЙНОМ  від 01 травня 2024 року (далі – Договір)</w:t>
      </w:r>
      <w:r w:rsidR="00A56E48" w:rsidRPr="00A56E48">
        <w:rPr>
          <w:noProof w:val="0"/>
          <w:lang w:eastAsia="uk-UA"/>
        </w:rPr>
        <w:t xml:space="preserve"> </w:t>
      </w:r>
      <w:r w:rsidR="004763EF">
        <w:rPr>
          <w:noProof w:val="0"/>
          <w:lang w:eastAsia="uk-UA"/>
        </w:rPr>
        <w:t xml:space="preserve">від 19.09.2025 </w:t>
      </w:r>
      <w:r w:rsidR="00A56E48" w:rsidRPr="00A56E48">
        <w:rPr>
          <w:noProof w:val="0"/>
          <w:lang w:eastAsia="uk-UA"/>
        </w:rPr>
        <w:t xml:space="preserve">на суму </w:t>
      </w:r>
      <w:r w:rsidR="00B558EC">
        <w:rPr>
          <w:noProof w:val="0"/>
          <w:lang w:eastAsia="uk-UA"/>
        </w:rPr>
        <w:br/>
      </w:r>
      <w:r w:rsidR="00A56E48" w:rsidRPr="00A56E48">
        <w:rPr>
          <w:noProof w:val="0"/>
          <w:lang w:eastAsia="uk-UA"/>
        </w:rPr>
        <w:t xml:space="preserve">8000 грн з ПДВ, а також платіжну інструкцію </w:t>
      </w:r>
      <w:r w:rsidR="00B558EC">
        <w:rPr>
          <w:noProof w:val="0"/>
          <w:lang w:eastAsia="uk-UA"/>
        </w:rPr>
        <w:t xml:space="preserve">№ 401 від 20.09.2025 </w:t>
      </w:r>
      <w:r w:rsidR="00A56E48" w:rsidRPr="00A56E48">
        <w:rPr>
          <w:noProof w:val="0"/>
          <w:lang w:eastAsia="uk-UA"/>
        </w:rPr>
        <w:t>на таку ж суму, що включає податок на додану вартість у розмірі 1333,33 грн.</w:t>
      </w:r>
    </w:p>
    <w:p w14:paraId="70D7EF89" w14:textId="75EAA987" w:rsidR="00777343" w:rsidRPr="008B6AB6" w:rsidRDefault="008B6AB6" w:rsidP="008B6AB6">
      <w:pPr>
        <w:tabs>
          <w:tab w:val="left" w:pos="567"/>
        </w:tabs>
        <w:jc w:val="both"/>
        <w:rPr>
          <w:noProof w:val="0"/>
          <w:lang w:eastAsia="uk-UA"/>
        </w:rPr>
      </w:pPr>
      <w:r>
        <w:rPr>
          <w:noProof w:val="0"/>
          <w:lang w:eastAsia="uk-UA"/>
        </w:rPr>
        <w:tab/>
      </w:r>
      <w:r w:rsidR="00777343" w:rsidRPr="00777343">
        <w:rPr>
          <w:b/>
          <w:bCs/>
          <w:noProof w:val="0"/>
          <w:lang w:eastAsia="uk-UA"/>
        </w:rPr>
        <w:t>Проте податкових накладних виписаних в період дії договору управління подано не було.</w:t>
      </w:r>
    </w:p>
    <w:p w14:paraId="38DFEA18" w14:textId="4D23680B" w:rsidR="00A56E48" w:rsidRDefault="004A7469" w:rsidP="004A7469">
      <w:pPr>
        <w:tabs>
          <w:tab w:val="left" w:pos="567"/>
        </w:tabs>
        <w:jc w:val="both"/>
        <w:rPr>
          <w:noProof w:val="0"/>
          <w:lang w:eastAsia="uk-UA"/>
        </w:rPr>
      </w:pPr>
      <w:r>
        <w:rPr>
          <w:noProof w:val="0"/>
          <w:lang w:eastAsia="uk-UA"/>
        </w:rPr>
        <w:tab/>
      </w:r>
      <w:r w:rsidR="00A56E48" w:rsidRPr="00A56E48">
        <w:rPr>
          <w:noProof w:val="0"/>
          <w:lang w:eastAsia="uk-UA"/>
        </w:rPr>
        <w:t>Відповідно до пункту 201.1 статті 201 П</w:t>
      </w:r>
      <w:r w:rsidR="00F258E8">
        <w:rPr>
          <w:noProof w:val="0"/>
          <w:lang w:eastAsia="uk-UA"/>
        </w:rPr>
        <w:t>КУ,</w:t>
      </w:r>
      <w:r w:rsidR="00EC279E">
        <w:rPr>
          <w:noProof w:val="0"/>
          <w:lang w:eastAsia="uk-UA"/>
        </w:rPr>
        <w:t xml:space="preserve"> </w:t>
      </w:r>
      <w:r w:rsidR="00A56E48" w:rsidRPr="00A56E48">
        <w:rPr>
          <w:noProof w:val="0"/>
          <w:lang w:eastAsia="uk-UA"/>
        </w:rPr>
        <w:t xml:space="preserve">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w:t>
      </w:r>
      <w:r w:rsidR="00A56E48" w:rsidRPr="00A56E48">
        <w:rPr>
          <w:noProof w:val="0"/>
          <w:lang w:eastAsia="uk-UA"/>
        </w:rPr>
        <w:lastRenderedPageBreak/>
        <w:t>законодавства, а також свідчить про відсутність одного з ключових підтверджуючих документів, передбачених тендерною документацією.</w:t>
      </w:r>
    </w:p>
    <w:p w14:paraId="4B802E20" w14:textId="77777777" w:rsidR="00777343" w:rsidRDefault="00777343" w:rsidP="004A7469">
      <w:pPr>
        <w:tabs>
          <w:tab w:val="left" w:pos="567"/>
        </w:tabs>
        <w:jc w:val="both"/>
        <w:rPr>
          <w:noProof w:val="0"/>
          <w:lang w:eastAsia="uk-UA"/>
        </w:rPr>
      </w:pPr>
    </w:p>
    <w:p w14:paraId="5082B622" w14:textId="426E57CB" w:rsidR="003E0A8A" w:rsidRPr="003E0A8A" w:rsidRDefault="00B558EC" w:rsidP="003E0A8A">
      <w:pPr>
        <w:tabs>
          <w:tab w:val="left" w:pos="567"/>
        </w:tabs>
        <w:jc w:val="both"/>
        <w:rPr>
          <w:rFonts w:eastAsiaTheme="minorEastAsia"/>
          <w:b/>
          <w:bCs/>
        </w:rPr>
      </w:pPr>
      <w:r>
        <w:rPr>
          <w:noProof w:val="0"/>
          <w:lang w:eastAsia="uk-UA"/>
        </w:rPr>
        <w:tab/>
      </w:r>
      <w:r w:rsidR="00777343" w:rsidRPr="003E0A8A">
        <w:rPr>
          <w:b/>
          <w:bCs/>
          <w:noProof w:val="0"/>
          <w:lang w:eastAsia="uk-UA"/>
        </w:rPr>
        <w:t xml:space="preserve">Щодо посилання </w:t>
      </w:r>
      <w:r w:rsidR="00EC279E" w:rsidRPr="003E0A8A">
        <w:rPr>
          <w:b/>
          <w:bCs/>
        </w:rPr>
        <w:t>Скаржник</w:t>
      </w:r>
      <w:r w:rsidR="00777343" w:rsidRPr="003E0A8A">
        <w:rPr>
          <w:b/>
          <w:bCs/>
        </w:rPr>
        <w:t>а</w:t>
      </w:r>
      <w:r w:rsidR="00EC279E" w:rsidRPr="003E0A8A">
        <w:rPr>
          <w:b/>
          <w:bCs/>
        </w:rPr>
        <w:t xml:space="preserve"> на пункт 201.10 статті 201 ПКУ</w:t>
      </w:r>
      <w:r w:rsidR="00777343" w:rsidRPr="003E0A8A">
        <w:rPr>
          <w:b/>
          <w:bCs/>
        </w:rPr>
        <w:t xml:space="preserve"> зазначаємо, що якщо Скаржник розумів той факт, що по вказаному договору в нього відсутні податкові накладі </w:t>
      </w:r>
      <w:r w:rsidR="00777343" w:rsidRPr="003E0A8A">
        <w:rPr>
          <w:b/>
          <w:bCs/>
          <w:u w:val="single"/>
        </w:rPr>
        <w:t xml:space="preserve">він не мав його включати до Довідки </w:t>
      </w:r>
      <w:r w:rsidR="003E0A8A" w:rsidRPr="003E0A8A">
        <w:rPr>
          <w:b/>
          <w:bCs/>
        </w:rPr>
        <w:t xml:space="preserve">про наявність аналогічного досвіду </w:t>
      </w:r>
      <w:r w:rsidR="003E0A8A" w:rsidRPr="003E0A8A">
        <w:rPr>
          <w:rFonts w:eastAsiaTheme="minorEastAsia"/>
          <w:b/>
          <w:bCs/>
        </w:rPr>
        <w:t>від 14.07.2025 № 01.</w:t>
      </w:r>
    </w:p>
    <w:p w14:paraId="0B150CC9" w14:textId="4192106A" w:rsidR="003E0A8A" w:rsidRDefault="003E0A8A" w:rsidP="004A7469">
      <w:pPr>
        <w:tabs>
          <w:tab w:val="left" w:pos="567"/>
        </w:tabs>
        <w:jc w:val="both"/>
      </w:pPr>
    </w:p>
    <w:p w14:paraId="5DC2F242" w14:textId="5E272AE0" w:rsidR="003E0A8A" w:rsidRDefault="003E0A8A" w:rsidP="00575EFA">
      <w:pPr>
        <w:tabs>
          <w:tab w:val="left" w:pos="567"/>
        </w:tabs>
        <w:ind w:firstLine="567"/>
        <w:jc w:val="both"/>
      </w:pPr>
      <w:r w:rsidRPr="00575EFA">
        <w:rPr>
          <w:b/>
          <w:bCs/>
        </w:rPr>
        <w:t>Окремо слід зазначити, що згідно пункт 201.10 статті 201 ПКУ при здійсненні операцій</w:t>
      </w:r>
      <w:r w:rsidRPr="003E0A8A">
        <w:t xml:space="preserve"> з постачання товарів/послуг платник податку - продавець товарів/послуг </w:t>
      </w:r>
      <w:r w:rsidRPr="003E0A8A">
        <w:rPr>
          <w:u w:val="single"/>
        </w:rPr>
        <w:t>зобов’язаний</w:t>
      </w:r>
      <w:r w:rsidRPr="003E0A8A">
        <w:t xml:space="preserve">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1A610F75" w14:textId="415956A5" w:rsidR="003E0A8A" w:rsidRDefault="003E0A8A" w:rsidP="00575EFA">
      <w:pPr>
        <w:tabs>
          <w:tab w:val="left" w:pos="567"/>
        </w:tabs>
        <w:ind w:firstLine="567"/>
        <w:jc w:val="both"/>
      </w:pPr>
      <w:r>
        <w:t>У раз</w:t>
      </w:r>
      <w:r w:rsidRPr="003E0A8A">
        <w:t xml:space="preserve">і порушення таких строків </w:t>
      </w:r>
      <w:r>
        <w:t xml:space="preserve">до платника податку </w:t>
      </w:r>
      <w:r w:rsidRPr="003E0A8A">
        <w:t xml:space="preserve">застосовуються штрафні санкції згідно з </w:t>
      </w:r>
      <w:r w:rsidR="00575EFA">
        <w:t xml:space="preserve">статті 120-1 </w:t>
      </w:r>
      <w:r w:rsidRPr="003E0A8A">
        <w:t>ПКУ.</w:t>
      </w:r>
    </w:p>
    <w:p w14:paraId="54322DA4" w14:textId="1B4BB74D" w:rsidR="003E0A8A" w:rsidRDefault="003E0A8A" w:rsidP="00575EFA">
      <w:pPr>
        <w:tabs>
          <w:tab w:val="left" w:pos="567"/>
        </w:tabs>
        <w:ind w:firstLine="567"/>
        <w:jc w:val="both"/>
        <w:rPr>
          <w:b/>
          <w:bCs/>
        </w:rPr>
      </w:pPr>
      <w:r w:rsidRPr="00575EFA">
        <w:rPr>
          <w:b/>
          <w:bCs/>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8D88D56" w14:textId="6E0BF1B8" w:rsidR="00575EFA" w:rsidRPr="00575EFA" w:rsidRDefault="00575EFA" w:rsidP="00575EFA">
      <w:pPr>
        <w:tabs>
          <w:tab w:val="left" w:pos="567"/>
        </w:tabs>
        <w:ind w:firstLine="567"/>
        <w:jc w:val="both"/>
        <w:rPr>
          <w:b/>
          <w:bCs/>
        </w:rPr>
      </w:pPr>
      <w:r>
        <w:rPr>
          <w:b/>
          <w:bCs/>
        </w:rPr>
        <w:t>Отже Учасник не був обмежений в своєму праві на виписку податкової накладної і її надання до АРМА</w:t>
      </w:r>
      <w:r w:rsidR="00ED118F">
        <w:rPr>
          <w:b/>
          <w:bCs/>
        </w:rPr>
        <w:t xml:space="preserve"> в межах процедури усунення невідповідностей</w:t>
      </w:r>
      <w:r>
        <w:rPr>
          <w:b/>
          <w:bCs/>
        </w:rPr>
        <w:t xml:space="preserve">. </w:t>
      </w:r>
    </w:p>
    <w:p w14:paraId="23689349" w14:textId="77B0B4A8" w:rsidR="00625A92" w:rsidRDefault="005D7A6A" w:rsidP="004A7469">
      <w:pPr>
        <w:tabs>
          <w:tab w:val="left" w:pos="567"/>
        </w:tabs>
        <w:jc w:val="both"/>
        <w:rPr>
          <w:noProof w:val="0"/>
          <w:lang w:eastAsia="uk-UA"/>
        </w:rPr>
      </w:pPr>
      <w:r>
        <w:tab/>
      </w:r>
      <w:r w:rsidR="00A56E48" w:rsidRPr="00A56E48">
        <w:rPr>
          <w:noProof w:val="0"/>
          <w:lang w:eastAsia="uk-UA"/>
        </w:rPr>
        <w:t>З огляду на зазначене</w:t>
      </w:r>
      <w:r w:rsidR="003E0A8A">
        <w:rPr>
          <w:noProof w:val="0"/>
          <w:lang w:eastAsia="uk-UA"/>
        </w:rPr>
        <w:t xml:space="preserve"> учасником не було усунено </w:t>
      </w:r>
      <w:r w:rsidR="00A56E48" w:rsidRPr="00A56E48">
        <w:rPr>
          <w:noProof w:val="0"/>
          <w:lang w:eastAsia="uk-UA"/>
        </w:rPr>
        <w:t xml:space="preserve">виявленої невідповідності. </w:t>
      </w:r>
    </w:p>
    <w:p w14:paraId="01247CCE" w14:textId="250205E4" w:rsidR="00A56E48" w:rsidRPr="00A56E48"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вимоги тендерної документації у частині </w:t>
      </w:r>
      <w:r w:rsidR="005D7A6A">
        <w:rPr>
          <w:noProof w:val="0"/>
          <w:lang w:eastAsia="uk-UA"/>
        </w:rPr>
        <w:t xml:space="preserve">підтвердження досвіду виконання </w:t>
      </w:r>
      <w:r w:rsidR="00A56E48" w:rsidRPr="00A56E48">
        <w:rPr>
          <w:noProof w:val="0"/>
          <w:lang w:eastAsia="uk-UA"/>
        </w:rPr>
        <w:t xml:space="preserve">договору </w:t>
      </w:r>
      <w:r w:rsidR="00CB1B37">
        <w:rPr>
          <w:noProof w:val="0"/>
          <w:lang w:eastAsia="uk-UA"/>
        </w:rPr>
        <w:t xml:space="preserve">не </w:t>
      </w:r>
      <w:r w:rsidR="00A56E48" w:rsidRPr="00A56E48">
        <w:rPr>
          <w:noProof w:val="0"/>
          <w:lang w:eastAsia="uk-UA"/>
        </w:rPr>
        <w:t>виконані</w:t>
      </w:r>
      <w:r w:rsidR="00CB1B37">
        <w:rPr>
          <w:noProof w:val="0"/>
          <w:lang w:eastAsia="uk-UA"/>
        </w:rPr>
        <w:t>.</w:t>
      </w:r>
    </w:p>
    <w:p w14:paraId="220FF557" w14:textId="77777777" w:rsidR="00575EFA"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6FD49565" w14:textId="707FF541" w:rsidR="00A56E48" w:rsidRDefault="008B6AB6" w:rsidP="004A7469">
      <w:pPr>
        <w:tabs>
          <w:tab w:val="left" w:pos="567"/>
        </w:tabs>
        <w:jc w:val="both"/>
        <w:rPr>
          <w:noProof w:val="0"/>
          <w:lang w:eastAsia="uk-UA"/>
        </w:rPr>
      </w:pPr>
      <w:r>
        <w:rPr>
          <w:noProof w:val="0"/>
          <w:lang w:eastAsia="uk-UA"/>
        </w:rPr>
        <w:tab/>
      </w:r>
      <w:r w:rsidR="00A56E48" w:rsidRPr="00A56E48">
        <w:rPr>
          <w:noProof w:val="0"/>
          <w:lang w:eastAsia="uk-UA"/>
        </w:rPr>
        <w:t xml:space="preserve">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w:t>
      </w:r>
      <w:r w:rsidR="00190B99">
        <w:rPr>
          <w:noProof w:val="0"/>
          <w:lang w:eastAsia="uk-UA"/>
        </w:rPr>
        <w:t>81</w:t>
      </w:r>
      <w:r w:rsidR="00A56E48" w:rsidRPr="00A56E48">
        <w:rPr>
          <w:noProof w:val="0"/>
          <w:lang w:eastAsia="uk-UA"/>
        </w:rPr>
        <w:t xml:space="preserve"> від 23.09.2025.</w:t>
      </w:r>
    </w:p>
    <w:p w14:paraId="49742420" w14:textId="1A46F61E" w:rsidR="00A56E48" w:rsidRPr="00A56E48" w:rsidRDefault="00151421" w:rsidP="005D7A6A">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w:t>
      </w:r>
      <w:r w:rsidR="00575EFA">
        <w:rPr>
          <w:noProof w:val="0"/>
          <w:lang w:eastAsia="uk-UA"/>
        </w:rPr>
        <w:t>З</w:t>
      </w:r>
      <w:r w:rsidR="00A56E48" w:rsidRPr="00A56E48">
        <w:rPr>
          <w:noProof w:val="0"/>
          <w:lang w:eastAsia="uk-UA"/>
        </w:rPr>
        <w:t>амовник діяв виключно у межах чинного законодавства та умов, передбачених тендерною документацією. Рішення про відхилення пропозиції є обґрунтованим, законним та прийнятим з дотриманням принципів відкритості, добросовісності, об’єктивності та недискримінаційного підходу до всіх учасників процедури закупівлі.</w:t>
      </w:r>
    </w:p>
    <w:p w14:paraId="15C1B06B" w14:textId="2F5CA13C" w:rsidR="005D7A6A" w:rsidRPr="005D7A6A" w:rsidRDefault="00625A92" w:rsidP="005D7A6A">
      <w:pPr>
        <w:pStyle w:val="ac"/>
        <w:tabs>
          <w:tab w:val="left" w:pos="567"/>
        </w:tabs>
        <w:spacing w:before="0" w:beforeAutospacing="0" w:after="0" w:afterAutospacing="0"/>
        <w:jc w:val="both"/>
        <w:rPr>
          <w:noProof w:val="0"/>
          <w:lang w:val="uk-UA" w:eastAsia="uk-UA"/>
        </w:rPr>
      </w:pPr>
      <w:r w:rsidRPr="002D41DD">
        <w:rPr>
          <w:noProof w:val="0"/>
          <w:lang w:val="uk-UA" w:eastAsia="uk-UA"/>
        </w:rPr>
        <w:tab/>
      </w:r>
      <w:r w:rsidR="005D7A6A" w:rsidRPr="005D7A6A">
        <w:rPr>
          <w:noProof w:val="0"/>
          <w:lang w:val="uk-UA" w:eastAsia="uk-UA"/>
        </w:rPr>
        <w:t xml:space="preserve">Враховуючи вищевикладене, вважаємо Скаргу необґрунтованою. </w:t>
      </w:r>
    </w:p>
    <w:p w14:paraId="2060D6DF" w14:textId="32A34017" w:rsidR="005D7A6A" w:rsidRPr="005D7A6A" w:rsidRDefault="005D7A6A" w:rsidP="005D7A6A">
      <w:pPr>
        <w:tabs>
          <w:tab w:val="left" w:pos="567"/>
        </w:tabs>
        <w:jc w:val="both"/>
        <w:rPr>
          <w:noProof w:val="0"/>
          <w:lang w:eastAsia="uk-UA"/>
        </w:rPr>
      </w:pPr>
      <w:r>
        <w:rPr>
          <w:noProof w:val="0"/>
          <w:lang w:eastAsia="uk-UA"/>
        </w:rPr>
        <w:tab/>
      </w:r>
      <w:r w:rsidRPr="005D7A6A">
        <w:rPr>
          <w:noProof w:val="0"/>
          <w:lang w:eastAsia="uk-UA"/>
        </w:rPr>
        <w:t>На підставі викладеного просимо відмовити у задоволенні скарги КОНСОРЦІУМУ "УПРАВЛЯЮЧА КОМПАНІЯ "ПЕНТА-ЛОГІСТИК ІНТЕРНЕШНЛ".</w:t>
      </w:r>
    </w:p>
    <w:p w14:paraId="7AB35F43" w14:textId="358A4D3B" w:rsidR="00F05D91" w:rsidRPr="005D7A6A" w:rsidRDefault="00F05D91" w:rsidP="005D7A6A">
      <w:pPr>
        <w:tabs>
          <w:tab w:val="left" w:pos="567"/>
        </w:tabs>
        <w:jc w:val="both"/>
        <w:rPr>
          <w:bCs/>
          <w:noProof w:val="0"/>
          <w:lang w:eastAsia="uk-UA"/>
        </w:rPr>
      </w:pPr>
    </w:p>
    <w:p w14:paraId="3A98BCBA" w14:textId="127CA133" w:rsidR="000F339E" w:rsidRDefault="000F339E" w:rsidP="00064A00">
      <w:pPr>
        <w:jc w:val="both"/>
        <w:rPr>
          <w:noProof w:val="0"/>
        </w:rPr>
      </w:pPr>
    </w:p>
    <w:p w14:paraId="5240EFE7" w14:textId="77777777" w:rsidR="0092224D" w:rsidRPr="004B426A" w:rsidRDefault="0092224D"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06397E2A"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028CA" w:rsidRPr="004B426A">
        <w:rPr>
          <w:b/>
          <w:noProof w:val="0"/>
          <w:lang w:eastAsia="en-US"/>
        </w:rPr>
        <w:t xml:space="preserve">              </w:t>
      </w:r>
      <w:r w:rsidR="00FB7876" w:rsidRPr="004B426A">
        <w:rPr>
          <w:b/>
          <w:noProof w:val="0"/>
          <w:lang w:eastAsia="en-US"/>
        </w:rPr>
        <w:t>Тетяна ЖИРКО</w:t>
      </w:r>
    </w:p>
    <w:p w14:paraId="46758914" w14:textId="77777777" w:rsidR="00EF709F" w:rsidRPr="004B426A" w:rsidRDefault="00EF709F" w:rsidP="00724F1E">
      <w:pPr>
        <w:pStyle w:val="a3"/>
        <w:rPr>
          <w:rFonts w:ascii="Times New Roman" w:hAnsi="Times New Roman"/>
          <w:sz w:val="24"/>
          <w:szCs w:val="24"/>
          <w:lang w:eastAsia="ru-RU"/>
        </w:rPr>
      </w:pPr>
    </w:p>
    <w:p w14:paraId="3D241509" w14:textId="77777777" w:rsidR="00732218" w:rsidRPr="004B426A" w:rsidRDefault="00732218" w:rsidP="00724F1E">
      <w:pPr>
        <w:pStyle w:val="a3"/>
        <w:rPr>
          <w:rFonts w:ascii="Times New Roman" w:hAnsi="Times New Roman"/>
          <w:sz w:val="16"/>
          <w:szCs w:val="16"/>
          <w:lang w:eastAsia="ru-RU"/>
        </w:rPr>
      </w:pPr>
    </w:p>
    <w:p w14:paraId="78433DF7" w14:textId="6C4618E8"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182B7F">
      <w:headerReference w:type="default" r:id="rId12"/>
      <w:headerReference w:type="first" r:id="rId13"/>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A380F" w14:textId="77777777" w:rsidR="000F448C" w:rsidRPr="00F01857" w:rsidRDefault="000F448C">
      <w:r w:rsidRPr="00F01857">
        <w:separator/>
      </w:r>
    </w:p>
  </w:endnote>
  <w:endnote w:type="continuationSeparator" w:id="0">
    <w:p w14:paraId="1B8CABFD" w14:textId="77777777" w:rsidR="000F448C" w:rsidRPr="00F01857" w:rsidRDefault="000F448C">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EF42E" w14:textId="77777777" w:rsidR="000F448C" w:rsidRPr="00F01857" w:rsidRDefault="000F448C">
      <w:r w:rsidRPr="00F01857">
        <w:separator/>
      </w:r>
    </w:p>
  </w:footnote>
  <w:footnote w:type="continuationSeparator" w:id="0">
    <w:p w14:paraId="2F10C7FB" w14:textId="77777777" w:rsidR="000F448C" w:rsidRPr="00F01857" w:rsidRDefault="000F448C">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2C3999B1"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190B99">
          <w:rPr>
            <w:sz w:val="20"/>
            <w:szCs w:val="20"/>
          </w:rPr>
          <w:t>2</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594D"/>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448C"/>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0B99"/>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729FB"/>
    <w:rsid w:val="004763EF"/>
    <w:rsid w:val="00476619"/>
    <w:rsid w:val="004849F9"/>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3595"/>
    <w:rsid w:val="00724F1E"/>
    <w:rsid w:val="007255DD"/>
    <w:rsid w:val="00727D88"/>
    <w:rsid w:val="00727EB1"/>
    <w:rsid w:val="00731E11"/>
    <w:rsid w:val="00732218"/>
    <w:rsid w:val="007442DD"/>
    <w:rsid w:val="00760147"/>
    <w:rsid w:val="00762A9F"/>
    <w:rsid w:val="00764B0E"/>
    <w:rsid w:val="00765D5E"/>
    <w:rsid w:val="00777343"/>
    <w:rsid w:val="007857E6"/>
    <w:rsid w:val="007874F9"/>
    <w:rsid w:val="007913A8"/>
    <w:rsid w:val="00792196"/>
    <w:rsid w:val="00795EB7"/>
    <w:rsid w:val="007A31EA"/>
    <w:rsid w:val="007A6B8D"/>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7D34"/>
    <w:rsid w:val="00BA0092"/>
    <w:rsid w:val="00BB1F7F"/>
    <w:rsid w:val="00BD01F0"/>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57704392">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16594871">
      <w:bodyDiv w:val="1"/>
      <w:marLeft w:val="0"/>
      <w:marRight w:val="0"/>
      <w:marTop w:val="0"/>
      <w:marBottom w:val="0"/>
      <w:divBdr>
        <w:top w:val="none" w:sz="0" w:space="0" w:color="auto"/>
        <w:left w:val="none" w:sz="0" w:space="0" w:color="auto"/>
        <w:bottom w:val="none" w:sz="0" w:space="0" w:color="auto"/>
        <w:right w:val="none" w:sz="0" w:space="0" w:color="auto"/>
      </w:divBdr>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3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178-2022-%D0%BF?find=1&amp;text=%D1%80%D0%BE%D1%81%D1%96%D0%B9" TargetMode="External"/><Relationship Id="rId4" Type="http://schemas.openxmlformats.org/officeDocument/2006/relationships/settings" Target="settings.xml"/><Relationship Id="rId9" Type="http://schemas.openxmlformats.org/officeDocument/2006/relationships/hyperlink" Target="mailto:PENTALOGISTICINTL@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FD36-70DD-488F-9E06-3D47335F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7640</Words>
  <Characters>4355</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2</cp:revision>
  <cp:lastPrinted>2025-10-01T16:57:00Z</cp:lastPrinted>
  <dcterms:created xsi:type="dcterms:W3CDTF">2025-10-02T13:14:00Z</dcterms:created>
  <dcterms:modified xsi:type="dcterms:W3CDTF">2025-10-02T13:14:00Z</dcterms:modified>
</cp:coreProperties>
</file>